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4BAA038A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6C0961">
        <w:rPr>
          <w:rFonts w:ascii="Arial" w:hAnsi="Arial" w:cs="Arial"/>
        </w:rPr>
        <w:t>2</w:t>
      </w:r>
      <w:r w:rsidR="00775EBE">
        <w:rPr>
          <w:rFonts w:ascii="Arial" w:hAnsi="Arial" w:cs="Arial"/>
        </w:rPr>
        <w:t>1</w:t>
      </w:r>
      <w:r w:rsidR="006C0961">
        <w:rPr>
          <w:rFonts w:ascii="Arial" w:hAnsi="Arial" w:cs="Arial"/>
        </w:rPr>
        <w:t>3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1AD57FDB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AC60FF">
        <w:rPr>
          <w:rFonts w:ascii="Arial" w:hAnsi="Arial" w:cs="Arial"/>
          <w:b/>
          <w:sz w:val="28"/>
          <w:szCs w:val="28"/>
        </w:rPr>
        <w:t>2</w:t>
      </w:r>
      <w:r w:rsidR="00775EBE">
        <w:rPr>
          <w:rFonts w:ascii="Arial" w:hAnsi="Arial" w:cs="Arial"/>
          <w:b/>
          <w:sz w:val="28"/>
          <w:szCs w:val="28"/>
        </w:rPr>
        <w:t>1</w:t>
      </w:r>
      <w:r w:rsidR="00AC60FF">
        <w:rPr>
          <w:rFonts w:ascii="Arial" w:hAnsi="Arial" w:cs="Arial"/>
          <w:b/>
          <w:sz w:val="28"/>
          <w:szCs w:val="28"/>
        </w:rPr>
        <w:t>3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30D81E9A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775EBE">
        <w:rPr>
          <w:rFonts w:ascii="Arial" w:hAnsi="Arial" w:cs="Arial"/>
          <w:sz w:val="24"/>
        </w:rPr>
        <w:t>29</w:t>
      </w:r>
      <w:r w:rsidR="006C0961">
        <w:rPr>
          <w:rFonts w:ascii="Arial" w:hAnsi="Arial" w:cs="Arial"/>
          <w:sz w:val="24"/>
        </w:rPr>
        <w:t xml:space="preserve"> września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6C0961" w:rsidRDefault="00E51B9B" w:rsidP="006C0961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A7450AF" w14:textId="250FC351" w:rsidR="00775EBE" w:rsidRPr="00775EBE" w:rsidRDefault="00775EBE" w:rsidP="00775EB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75EBE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1641, poz. 1872), § 18 i § 19 Uchwały Nr LV/492/2022 Rady Miejskiej w Sulejowie z dnia 16 grudnia 2022 roku w sprawie uchwalenia budżetu gminy Sulejów na 2023 rok, zarządzam co następuje:</w:t>
      </w:r>
    </w:p>
    <w:p w14:paraId="7B48073D" w14:textId="77777777" w:rsidR="00775EBE" w:rsidRPr="00775EBE" w:rsidRDefault="00775EBE" w:rsidP="00775EB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154A9BCF" w14:textId="480C139B" w:rsidR="00775EBE" w:rsidRPr="00775EBE" w:rsidRDefault="00775EBE" w:rsidP="00775EB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75EBE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EBE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6A48165C" w14:textId="77777777" w:rsidR="00775EBE" w:rsidRPr="00775EBE" w:rsidRDefault="00775EBE" w:rsidP="00775EB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75EBE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6A8EB02B" w14:textId="77777777" w:rsidR="00775EBE" w:rsidRPr="00775EBE" w:rsidRDefault="00775EBE" w:rsidP="00775EB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75EBE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7F095F46" w14:textId="64A960E9" w:rsidR="00775EBE" w:rsidRPr="00775EBE" w:rsidRDefault="00775EBE" w:rsidP="00775EB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775EBE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EBE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598F1B9" w14:textId="77777777" w:rsidR="00775EBE" w:rsidRPr="00775EBE" w:rsidRDefault="00775EBE" w:rsidP="00775EBE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75EBE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777E1242" w14:textId="77777777" w:rsidR="00775EBE" w:rsidRPr="00775EBE" w:rsidRDefault="00775EBE" w:rsidP="00775EBE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75EBE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3A8F55D4" w14:textId="7950AD60" w:rsidR="00775EBE" w:rsidRPr="00775EBE" w:rsidRDefault="00775EBE" w:rsidP="00775EB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75EBE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EBE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27DC7691" w14:textId="284ADEA0" w:rsidR="00775EBE" w:rsidRPr="00775EBE" w:rsidRDefault="00775EBE" w:rsidP="00775EB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75EBE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EBE">
        <w:rPr>
          <w:rFonts w:ascii="Arial" w:hAnsi="Arial" w:cs="Arial"/>
          <w:sz w:val="24"/>
          <w:szCs w:val="24"/>
        </w:rPr>
        <w:t>Wprowadza się zmiany w planie dochodów z tytułu zezwoleń na sprzedaż napojów alkoholowych i opłat od napojów alkoholowych w opakowaniach jednostkowych o ilości nominalnej napoju nieprzekraczającej 300 ml oraz planie wydatków na realizację zadań określonych w gminnym programie profilaktyki i rozwiązywania problemów alkoholowych oraz przeciwdziałania narkomanii, zgodnie z załącznikiem 2.</w:t>
      </w:r>
    </w:p>
    <w:p w14:paraId="4FBD5644" w14:textId="2E1E94B7" w:rsidR="00775EBE" w:rsidRPr="00775EBE" w:rsidRDefault="00775EBE" w:rsidP="00775EB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75EBE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EBE">
        <w:rPr>
          <w:rFonts w:ascii="Arial" w:hAnsi="Arial" w:cs="Arial"/>
          <w:sz w:val="24"/>
          <w:szCs w:val="24"/>
        </w:rPr>
        <w:t>Plan budżetu gminy Sulejów po zmianach wynosi:</w:t>
      </w:r>
    </w:p>
    <w:p w14:paraId="2DA35462" w14:textId="77777777" w:rsidR="00775EBE" w:rsidRPr="00775EBE" w:rsidRDefault="00775EBE" w:rsidP="00775EB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75EBE">
        <w:rPr>
          <w:rFonts w:ascii="Arial" w:hAnsi="Arial" w:cs="Arial"/>
          <w:bCs/>
          <w:sz w:val="24"/>
          <w:szCs w:val="24"/>
        </w:rPr>
        <w:t>dochody 103.771.364,20 zł, w tym:</w:t>
      </w:r>
    </w:p>
    <w:p w14:paraId="6DE8F9BB" w14:textId="77777777" w:rsidR="00775EBE" w:rsidRPr="00775EBE" w:rsidRDefault="00775EBE" w:rsidP="00775EB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75EBE">
        <w:rPr>
          <w:rFonts w:ascii="Arial" w:hAnsi="Arial" w:cs="Arial"/>
          <w:bCs/>
          <w:sz w:val="24"/>
          <w:szCs w:val="24"/>
        </w:rPr>
        <w:t>dochody bieżące 78.046.612,62 zł,</w:t>
      </w:r>
    </w:p>
    <w:p w14:paraId="1DC17BBD" w14:textId="77777777" w:rsidR="00775EBE" w:rsidRPr="00775EBE" w:rsidRDefault="00775EBE" w:rsidP="00775EB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75EBE">
        <w:rPr>
          <w:rFonts w:ascii="Arial" w:hAnsi="Arial" w:cs="Arial"/>
          <w:bCs/>
          <w:sz w:val="24"/>
          <w:szCs w:val="24"/>
        </w:rPr>
        <w:t>dochody majątkowe 25.724.751,58 zł;</w:t>
      </w:r>
    </w:p>
    <w:p w14:paraId="22B4BE6E" w14:textId="77777777" w:rsidR="00775EBE" w:rsidRPr="00775EBE" w:rsidRDefault="00775EBE" w:rsidP="00775EB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75EBE">
        <w:rPr>
          <w:rFonts w:ascii="Arial" w:hAnsi="Arial" w:cs="Arial"/>
          <w:bCs/>
          <w:sz w:val="24"/>
          <w:szCs w:val="24"/>
        </w:rPr>
        <w:t>wydatki 102.929.213,02 zł, w tym:</w:t>
      </w:r>
    </w:p>
    <w:p w14:paraId="0AFA415B" w14:textId="77777777" w:rsidR="00775EBE" w:rsidRPr="00775EBE" w:rsidRDefault="00775EBE" w:rsidP="00775EB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75EBE">
        <w:rPr>
          <w:rFonts w:ascii="Arial" w:hAnsi="Arial" w:cs="Arial"/>
          <w:bCs/>
          <w:sz w:val="24"/>
          <w:szCs w:val="24"/>
        </w:rPr>
        <w:t>wydatki bieżące 71.704.582,07 zł,</w:t>
      </w:r>
    </w:p>
    <w:p w14:paraId="3DA9E6CC" w14:textId="77777777" w:rsidR="00775EBE" w:rsidRPr="00775EBE" w:rsidRDefault="00775EBE" w:rsidP="00775EB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75EBE">
        <w:rPr>
          <w:rFonts w:ascii="Arial" w:hAnsi="Arial" w:cs="Arial"/>
          <w:bCs/>
          <w:sz w:val="24"/>
          <w:szCs w:val="24"/>
        </w:rPr>
        <w:t>wydatki majątkowe 31.224.630,95 zł.</w:t>
      </w:r>
    </w:p>
    <w:p w14:paraId="3A07F66D" w14:textId="4FD4960D" w:rsidR="00775EBE" w:rsidRPr="00775EBE" w:rsidRDefault="00775EBE" w:rsidP="00775EB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75EBE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EBE">
        <w:rPr>
          <w:rFonts w:ascii="Arial" w:hAnsi="Arial" w:cs="Arial"/>
          <w:sz w:val="24"/>
          <w:szCs w:val="24"/>
        </w:rPr>
        <w:t>Zarządzenie wchodzi w życie z dniem podjęcia.</w:t>
      </w:r>
    </w:p>
    <w:p w14:paraId="5306A627" w14:textId="77777777" w:rsidR="006C0961" w:rsidRPr="006C0961" w:rsidRDefault="006C0961" w:rsidP="006C0961">
      <w:pPr>
        <w:pStyle w:val="Normal"/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26</cp:revision>
  <cp:lastPrinted>2023-02-02T06:26:00Z</cp:lastPrinted>
  <dcterms:created xsi:type="dcterms:W3CDTF">2023-02-02T08:06:00Z</dcterms:created>
  <dcterms:modified xsi:type="dcterms:W3CDTF">2023-10-04T10:11:00Z</dcterms:modified>
</cp:coreProperties>
</file>